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1200"/>
        <w:jc w:val="center"/>
      </w:pPr>
      <w:r>
        <w:rPr>
          <w:b/>
          <w:bCs/>
          <w:color w:val="405189"/>
          <w:sz w:val="28"/>
          <w:szCs w:val="28"/>
        </w:rPr>
        <w:t xml:space="preserve">INDOVISION SERVICES</w:t>
      </w:r>
    </w:p>
    <w:p>
      <w:pPr>
        <w:spacing w:after="40"/>
        <w:jc w:val="center"/>
      </w:pPr>
      <w:r>
        <w:rPr>
          <w:b/>
          <w:bCs/>
          <w:color w:val="2b3566"/>
          <w:sz w:val="48"/>
          <w:szCs w:val="48"/>
        </w:rPr>
        <w:t xml:space="preserve">TA-ATS Platform</w:t>
      </w:r>
    </w:p>
    <w:p>
      <w:pPr>
        <w:spacing w:after="200"/>
        <w:jc w:val="center"/>
      </w:pPr>
      <w:r>
        <w:rPr>
          <w:color w:val="0ab39c"/>
          <w:sz w:val="32"/>
          <w:szCs w:val="32"/>
        </w:rPr>
        <w:t xml:space="preserve">Implementation Status &amp; Delivery Roadmap</w:t>
      </w:r>
    </w:p>
    <w:p>
      <w:pPr>
        <w:jc w:val="center"/>
      </w:pPr>
      <w:r>
        <w:rPr>
          <w:i/>
          <w:iCs/>
          <w:color w:val="64748b"/>
        </w:rPr>
        <w:t xml:space="preserve">Talent Acquisition — Applicant Tracking System</w:t>
      </w:r>
    </w:p>
    <w:p>
      <w:pPr>
        <w:spacing w:before="200"/>
        <w:jc w:val="center"/>
      </w:pPr>
      <w:r>
        <w:rPr>
          <w:color w:val="64748b"/>
          <w:sz w:val="18"/>
          <w:szCs w:val="18"/>
        </w:rPr>
        <w:t xml:space="preserve">Version 1.0  ·  August 2026  ·  Confidential — Internal Use Only</w:t>
      </w:r>
    </w:p>
    <w:p>
      <w:r>
        <w:br w:type="page"/>
      </w:r>
    </w:p>
    <w:p>
      <w:pPr>
        <w:pStyle w:val="Heading1"/>
        <w:spacing w:after="120" w:before="240"/>
      </w:pPr>
      <w:r>
        <w:rPr>
          <w:color w:val="2b3566"/>
        </w:rPr>
        <w:t xml:space="preserve">Table of Contents</w:t>
      </w:r>
    </w:p>
    <w:sdt>
      <w:sdtPr>
        <w:alias w:val="Contents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Heading1"/>
        <w:spacing w:after="120" w:before="240"/>
      </w:pPr>
      <w:r>
        <w:rPr>
          <w:color w:val="2b3566"/>
        </w:rPr>
        <w:t xml:space="preserve">1. Executive Summary</w:t>
      </w:r>
    </w:p>
    <w:p>
      <w:pPr>
        <w:spacing w:after="100"/>
      </w:pPr>
      <w:r>
        <w:t xml:space="preserve">The TA-ATS platform is live in production (web, desktop + mobile-responsive) with the core recruitment lifecycle operational: authentication &amp; RBAC, dashboards, job-description management with an approval workflow, candidate sourcing &amp; résumé ingestion, a public careers portal with one-click apply, CV ranking, and multi-channel candidate outreach (Email, WhatsApp, SMS).</w:t>
      </w:r>
    </w:p>
    <w:p>
      <w:pPr>
        <w:spacing w:after="100"/>
      </w:pPr>
      <w:r>
        <w:t xml:space="preserve">Against the 128 tracked requirements, roughly 58 are Completed, 37 In Progress, and 33 Pending. The largest remaining areas are the AI Calling / Interview / Evaluation engines and the external Integration layer (Naukri, telephony, calendar), which form the bulk of the "Next" and "Later" roadmap phases.</w:t>
      </w:r>
    </w:p>
    <w:p>
      <w:pPr>
        <w:pStyle w:val="Heading1"/>
        <w:spacing w:after="120" w:before="240"/>
      </w:pPr>
      <w:r>
        <w:rPr>
          <w:color w:val="2b3566"/>
        </w:rPr>
        <w:t xml:space="preserve">2. Overall Status Snapshot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shd w:fill="40518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Completed</w:t>
            </w:r>
          </w:p>
        </w:tc>
        <w:tc>
          <w:tcPr>
            <w:tcW w:type="dxa" w:w="3120"/>
            <w:shd w:fill="40518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In Progress</w:t>
            </w:r>
          </w:p>
        </w:tc>
        <w:tc>
          <w:tcPr>
            <w:tcW w:type="dxa" w:w="3120"/>
            <w:shd w:fill="40518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Pending</w:t>
            </w:r>
          </w:p>
        </w:tc>
      </w:tr>
      <w:tr>
        <w:tc>
          <w:tcPr>
            <w:tcW w:type="dxa" w:w="312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color w:val="0ab39c"/>
                <w:sz w:val="18"/>
                <w:szCs w:val="18"/>
              </w:rPr>
              <w:t xml:space="preserve">58  (45%)</w:t>
            </w:r>
          </w:p>
        </w:tc>
        <w:tc>
          <w:tcPr>
            <w:tcW w:type="dxa" w:w="312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color w:val="dd9b19"/>
                <w:sz w:val="18"/>
                <w:szCs w:val="18"/>
              </w:rPr>
              <w:t xml:space="preserve">37  (29%)</w:t>
            </w:r>
          </w:p>
        </w:tc>
        <w:tc>
          <w:tcPr>
            <w:tcW w:type="dxa" w:w="312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color w:val="c0392b"/>
                <w:sz w:val="18"/>
                <w:szCs w:val="18"/>
              </w:rPr>
              <w:t xml:space="preserve">33  (26%)</w:t>
            </w:r>
          </w:p>
        </w:tc>
      </w:tr>
    </w:tbl>
    <w:p>
      <w:pPr>
        <w:spacing w:after="100"/>
      </w:pPr>
      <w:r>
        <w:rPr>
          <w:i/>
          <w:iCs/>
          <w:color w:val="64748b"/>
          <w:sz w:val="18"/>
          <w:szCs w:val="18"/>
        </w:rPr>
        <w:t xml:space="preserve">Total tracked requirements: 128.</w:t>
      </w:r>
    </w:p>
    <w:p>
      <w:pPr>
        <w:pStyle w:val="Heading1"/>
        <w:spacing w:after="120" w:before="240"/>
      </w:pPr>
      <w:r>
        <w:rPr>
          <w:color w:val="2b3566"/>
        </w:rPr>
        <w:t xml:space="preserve">3. Module-by-Module Status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700"/>
        <w:gridCol w:w="800"/>
        <w:gridCol w:w="800"/>
        <w:gridCol w:w="4460"/>
      </w:tblGrid>
      <w:tr>
        <w:trPr>
          <w:tblHeader/>
        </w:trPr>
        <w:tc>
          <w:tcPr>
            <w:tcW w:type="dxa" w:w="2600"/>
            <w:shd w:fill="40518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Module</w:t>
            </w:r>
          </w:p>
        </w:tc>
        <w:tc>
          <w:tcPr>
            <w:tcW w:type="dxa" w:w="700"/>
            <w:shd w:fill="40518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Done</w:t>
            </w:r>
          </w:p>
        </w:tc>
        <w:tc>
          <w:tcPr>
            <w:tcW w:type="dxa" w:w="800"/>
            <w:shd w:fill="40518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WIP</w:t>
            </w:r>
          </w:p>
        </w:tc>
        <w:tc>
          <w:tcPr>
            <w:tcW w:type="dxa" w:w="800"/>
            <w:shd w:fill="40518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Pend</w:t>
            </w:r>
          </w:p>
        </w:tc>
        <w:tc>
          <w:tcPr>
            <w:tcW w:type="dxa" w:w="4460"/>
            <w:shd w:fill="40518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Notes / What remains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Auth, RBAC &amp; Device Binding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color w:val="0ab39c"/>
                <w:sz w:val="18"/>
                <w:szCs w:val="18"/>
              </w:rPr>
              <w:t xml:space="preserve">9</w:t>
            </w:r>
          </w:p>
        </w:tc>
        <w:tc>
          <w:tcPr>
            <w:tcW w:type="dxa" w:w="8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dd9b19"/>
                <w:sz w:val="18"/>
                <w:szCs w:val="18"/>
              </w:rPr>
              <w:t xml:space="preserve">1</w:t>
            </w:r>
          </w:p>
        </w:tc>
        <w:tc>
          <w:tcPr>
            <w:tcW w:type="dxa" w:w="8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c0392b"/>
                <w:sz w:val="18"/>
                <w:szCs w:val="18"/>
              </w:rPr>
              <w:t xml:space="preserve">4</w:t>
            </w:r>
          </w:p>
        </w:tc>
        <w:tc>
          <w:tcPr>
            <w:tcW w:type="dxa" w:w="44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Login, JWT, RBAC groups/permissions, admin lock/unlock, login history — done. Pending: device-binding, MFA/SSO, OTP hardening.</w:t>
            </w:r>
          </w:p>
        </w:tc>
      </w:tr>
      <w:tr>
        <w:tc>
          <w:tcPr>
            <w:tcW w:type="dxa" w:w="2600"/>
            <w:shd w:fill="f1f5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Dashboard &amp; Configuration</w:t>
            </w:r>
          </w:p>
        </w:tc>
        <w:tc>
          <w:tcPr>
            <w:tcW w:type="dxa" w:w="700"/>
            <w:shd w:fill="f1f5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color w:val="0ab39c"/>
                <w:sz w:val="18"/>
                <w:szCs w:val="18"/>
              </w:rPr>
              <w:t xml:space="preserve">5</w:t>
            </w:r>
          </w:p>
        </w:tc>
        <w:tc>
          <w:tcPr>
            <w:tcW w:type="dxa" w:w="800"/>
            <w:shd w:fill="f1f5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dd9b19"/>
                <w:sz w:val="18"/>
                <w:szCs w:val="18"/>
              </w:rPr>
              <w:t xml:space="preserve">1</w:t>
            </w:r>
          </w:p>
        </w:tc>
        <w:tc>
          <w:tcPr>
            <w:tcW w:type="dxa" w:w="800"/>
            <w:shd w:fill="f1f5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c0392b"/>
                <w:sz w:val="18"/>
                <w:szCs w:val="18"/>
              </w:rPr>
              <w:t xml:space="preserve">2</w:t>
            </w:r>
          </w:p>
        </w:tc>
        <w:tc>
          <w:tcPr>
            <w:tcW w:type="dxa" w:w="4460"/>
            <w:shd w:fill="f1f5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Role dashboards, KPIs, command-center, live activity (polling fallback) — done. Pending: fully drag-config widgets.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Job Description Management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color w:val="0ab39c"/>
                <w:sz w:val="18"/>
                <w:szCs w:val="18"/>
              </w:rPr>
              <w:t xml:space="preserve">9</w:t>
            </w:r>
          </w:p>
        </w:tc>
        <w:tc>
          <w:tcPr>
            <w:tcW w:type="dxa" w:w="8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dd9b19"/>
                <w:sz w:val="18"/>
                <w:szCs w:val="18"/>
              </w:rPr>
              <w:t xml:space="preserve">2</w:t>
            </w:r>
          </w:p>
        </w:tc>
        <w:tc>
          <w:tcPr>
            <w:tcW w:type="dxa" w:w="8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c0392b"/>
                <w:sz w:val="18"/>
                <w:szCs w:val="18"/>
              </w:rPr>
              <w:t xml:space="preserve">1</w:t>
            </w:r>
          </w:p>
        </w:tc>
        <w:tc>
          <w:tcPr>
            <w:tcW w:type="dxa" w:w="44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JD authoring, approval workflow, viewer tabs, DataTable, public careers, UUID/short-code URLs, LinkedIn share + OG banner — done.</w:t>
            </w:r>
          </w:p>
        </w:tc>
      </w:tr>
      <w:tr>
        <w:tc>
          <w:tcPr>
            <w:tcW w:type="dxa" w:w="2600"/>
            <w:shd w:fill="f1f5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Candidate Sourcing &amp; CV Ingestion</w:t>
            </w:r>
          </w:p>
        </w:tc>
        <w:tc>
          <w:tcPr>
            <w:tcW w:type="dxa" w:w="700"/>
            <w:shd w:fill="f1f5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color w:val="0ab39c"/>
                <w:sz w:val="18"/>
                <w:szCs w:val="18"/>
              </w:rPr>
              <w:t xml:space="preserve">7</w:t>
            </w:r>
          </w:p>
        </w:tc>
        <w:tc>
          <w:tcPr>
            <w:tcW w:type="dxa" w:w="800"/>
            <w:shd w:fill="f1f5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dd9b19"/>
                <w:sz w:val="18"/>
                <w:szCs w:val="18"/>
              </w:rPr>
              <w:t xml:space="preserve">0</w:t>
            </w:r>
          </w:p>
        </w:tc>
        <w:tc>
          <w:tcPr>
            <w:tcW w:type="dxa" w:w="800"/>
            <w:shd w:fill="f1f5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c0392b"/>
                <w:sz w:val="18"/>
                <w:szCs w:val="18"/>
              </w:rPr>
              <w:t xml:space="preserve">4</w:t>
            </w:r>
          </w:p>
        </w:tc>
        <w:tc>
          <w:tcPr>
            <w:tcW w:type="dxa" w:w="4460"/>
            <w:shd w:fill="f1f5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Manual upload, résumé parse, careers self-apply, OpenCATS attachments — done. Pending: Naukri/LinkedIn auto-sourcing adapters.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CV Ranking Engine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color w:val="0ab39c"/>
                <w:sz w:val="18"/>
                <w:szCs w:val="18"/>
              </w:rPr>
              <w:t xml:space="preserve">5</w:t>
            </w:r>
          </w:p>
        </w:tc>
        <w:tc>
          <w:tcPr>
            <w:tcW w:type="dxa" w:w="8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dd9b19"/>
                <w:sz w:val="18"/>
                <w:szCs w:val="18"/>
              </w:rPr>
              <w:t xml:space="preserve">3</w:t>
            </w:r>
          </w:p>
        </w:tc>
        <w:tc>
          <w:tcPr>
            <w:tcW w:type="dxa" w:w="8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c0392b"/>
                <w:sz w:val="18"/>
                <w:szCs w:val="18"/>
              </w:rPr>
              <w:t xml:space="preserve">0</w:t>
            </w:r>
          </w:p>
        </w:tc>
        <w:tc>
          <w:tcPr>
            <w:tcW w:type="dxa" w:w="44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Configurable ranking parameters + scoring service in place. In progress: weight tuning UI, résumé full-text match refinements.</w:t>
            </w:r>
          </w:p>
        </w:tc>
      </w:tr>
      <w:tr>
        <w:tc>
          <w:tcPr>
            <w:tcW w:type="dxa" w:w="2600"/>
            <w:shd w:fill="f1f5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Candidate Outreach (Round 1)</w:t>
            </w:r>
          </w:p>
        </w:tc>
        <w:tc>
          <w:tcPr>
            <w:tcW w:type="dxa" w:w="700"/>
            <w:shd w:fill="f1f5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color w:val="0ab39c"/>
                <w:sz w:val="18"/>
                <w:szCs w:val="18"/>
              </w:rPr>
              <w:t xml:space="preserve">5</w:t>
            </w:r>
          </w:p>
        </w:tc>
        <w:tc>
          <w:tcPr>
            <w:tcW w:type="dxa" w:w="800"/>
            <w:shd w:fill="f1f5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dd9b19"/>
                <w:sz w:val="18"/>
                <w:szCs w:val="18"/>
              </w:rPr>
              <w:t xml:space="preserve">1</w:t>
            </w:r>
          </w:p>
        </w:tc>
        <w:tc>
          <w:tcPr>
            <w:tcW w:type="dxa" w:w="800"/>
            <w:shd w:fill="f1f5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c0392b"/>
                <w:sz w:val="18"/>
                <w:szCs w:val="18"/>
              </w:rPr>
              <w:t xml:space="preserve">1</w:t>
            </w:r>
          </w:p>
        </w:tc>
        <w:tc>
          <w:tcPr>
            <w:tcW w:type="dxa" w:w="4460"/>
            <w:shd w:fill="f1f5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Email + WhatsApp (approved template, multi-variable) + SMS, Notify modal, status-change auto-email — delivered this phase.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Technical / Second Round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color w:val="0ab39c"/>
                <w:sz w:val="18"/>
                <w:szCs w:val="18"/>
              </w:rPr>
              <w:t xml:space="preserve">3</w:t>
            </w:r>
          </w:p>
        </w:tc>
        <w:tc>
          <w:tcPr>
            <w:tcW w:type="dxa" w:w="8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dd9b19"/>
                <w:sz w:val="18"/>
                <w:szCs w:val="18"/>
              </w:rPr>
              <w:t xml:space="preserve">3</w:t>
            </w:r>
          </w:p>
        </w:tc>
        <w:tc>
          <w:tcPr>
            <w:tcW w:type="dxa" w:w="8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c0392b"/>
                <w:sz w:val="18"/>
                <w:szCs w:val="18"/>
              </w:rPr>
              <w:t xml:space="preserve">0</w:t>
            </w:r>
          </w:p>
        </w:tc>
        <w:tc>
          <w:tcPr>
            <w:tcW w:type="dxa" w:w="44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Pipeline stages + interview result capture. In progress: interviewer scheduling + calendar invite polish.</w:t>
            </w:r>
          </w:p>
        </w:tc>
      </w:tr>
      <w:tr>
        <w:tc>
          <w:tcPr>
            <w:tcW w:type="dxa" w:w="2600"/>
            <w:shd w:fill="f1f5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Customer / Final Round</w:t>
            </w:r>
          </w:p>
        </w:tc>
        <w:tc>
          <w:tcPr>
            <w:tcW w:type="dxa" w:w="700"/>
            <w:shd w:fill="f1f5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color w:val="0ab39c"/>
                <w:sz w:val="18"/>
                <w:szCs w:val="18"/>
              </w:rPr>
              <w:t xml:space="preserve">3</w:t>
            </w:r>
          </w:p>
        </w:tc>
        <w:tc>
          <w:tcPr>
            <w:tcW w:type="dxa" w:w="800"/>
            <w:shd w:fill="f1f5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dd9b19"/>
                <w:sz w:val="18"/>
                <w:szCs w:val="18"/>
              </w:rPr>
              <w:t xml:space="preserve">2</w:t>
            </w:r>
          </w:p>
        </w:tc>
        <w:tc>
          <w:tcPr>
            <w:tcW w:type="dxa" w:w="800"/>
            <w:shd w:fill="f1f5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c0392b"/>
                <w:sz w:val="18"/>
                <w:szCs w:val="18"/>
              </w:rPr>
              <w:t xml:space="preserve">1</w:t>
            </w:r>
          </w:p>
        </w:tc>
        <w:tc>
          <w:tcPr>
            <w:tcW w:type="dxa" w:w="4460"/>
            <w:shd w:fill="f1f5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Final-round tracking present. Pending: customer-facing scheduling + external calendar sync.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AI Calling Engine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color w:val="0ab39c"/>
                <w:sz w:val="18"/>
                <w:szCs w:val="18"/>
              </w:rPr>
              <w:t xml:space="preserve">0</w:t>
            </w:r>
          </w:p>
        </w:tc>
        <w:tc>
          <w:tcPr>
            <w:tcW w:type="dxa" w:w="8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dd9b19"/>
                <w:sz w:val="18"/>
                <w:szCs w:val="18"/>
              </w:rPr>
              <w:t xml:space="preserve">8</w:t>
            </w:r>
          </w:p>
        </w:tc>
        <w:tc>
          <w:tcPr>
            <w:tcW w:type="dxa" w:w="8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c0392b"/>
                <w:sz w:val="18"/>
                <w:szCs w:val="18"/>
              </w:rPr>
              <w:t xml:space="preserve">3</w:t>
            </w:r>
          </w:p>
        </w:tc>
        <w:tc>
          <w:tcPr>
            <w:tcW w:type="dxa" w:w="44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Per-candidate AI call controls + screening wired; call status/summary UI. Pending: retry/IVR, telephony provider integration.</w:t>
            </w:r>
          </w:p>
        </w:tc>
      </w:tr>
      <w:tr>
        <w:tc>
          <w:tcPr>
            <w:tcW w:type="dxa" w:w="2600"/>
            <w:shd w:fill="f1f5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AI Interview Flow</w:t>
            </w:r>
          </w:p>
        </w:tc>
        <w:tc>
          <w:tcPr>
            <w:tcW w:type="dxa" w:w="700"/>
            <w:shd w:fill="f1f5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color w:val="0ab39c"/>
                <w:sz w:val="18"/>
                <w:szCs w:val="18"/>
              </w:rPr>
              <w:t xml:space="preserve">0</w:t>
            </w:r>
          </w:p>
        </w:tc>
        <w:tc>
          <w:tcPr>
            <w:tcW w:type="dxa" w:w="800"/>
            <w:shd w:fill="f1f5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dd9b19"/>
                <w:sz w:val="18"/>
                <w:szCs w:val="18"/>
              </w:rPr>
              <w:t xml:space="preserve">4</w:t>
            </w:r>
          </w:p>
        </w:tc>
        <w:tc>
          <w:tcPr>
            <w:tcW w:type="dxa" w:w="800"/>
            <w:shd w:fill="f1f5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c0392b"/>
                <w:sz w:val="18"/>
                <w:szCs w:val="18"/>
              </w:rPr>
              <w:t xml:space="preserve">4</w:t>
            </w:r>
          </w:p>
        </w:tc>
        <w:tc>
          <w:tcPr>
            <w:tcW w:type="dxa" w:w="4460"/>
            <w:shd w:fill="f1f5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Screening questions + flow scaffolding. Pending: STT capture, branching, live transcript.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AI Evaluation Engine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color w:val="0ab39c"/>
                <w:sz w:val="18"/>
                <w:szCs w:val="18"/>
              </w:rPr>
              <w:t xml:space="preserve">1</w:t>
            </w:r>
          </w:p>
        </w:tc>
        <w:tc>
          <w:tcPr>
            <w:tcW w:type="dxa" w:w="8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dd9b19"/>
                <w:sz w:val="18"/>
                <w:szCs w:val="18"/>
              </w:rPr>
              <w:t xml:space="preserve">3</w:t>
            </w:r>
          </w:p>
        </w:tc>
        <w:tc>
          <w:tcPr>
            <w:tcW w:type="dxa" w:w="8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c0392b"/>
                <w:sz w:val="18"/>
                <w:szCs w:val="18"/>
              </w:rPr>
              <w:t xml:space="preserve">3</w:t>
            </w:r>
          </w:p>
        </w:tc>
        <w:tc>
          <w:tcPr>
            <w:tcW w:type="dxa" w:w="44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Ranking hooks exist. Pending: dealbreaker detection, scored evaluation from transcript.</w:t>
            </w:r>
          </w:p>
        </w:tc>
      </w:tr>
      <w:tr>
        <w:tc>
          <w:tcPr>
            <w:tcW w:type="dxa" w:w="2600"/>
            <w:shd w:fill="f1f5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Reporting &amp; Notifications</w:t>
            </w:r>
          </w:p>
        </w:tc>
        <w:tc>
          <w:tcPr>
            <w:tcW w:type="dxa" w:w="700"/>
            <w:shd w:fill="f1f5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color w:val="0ab39c"/>
                <w:sz w:val="18"/>
                <w:szCs w:val="18"/>
              </w:rPr>
              <w:t xml:space="preserve">5</w:t>
            </w:r>
          </w:p>
        </w:tc>
        <w:tc>
          <w:tcPr>
            <w:tcW w:type="dxa" w:w="800"/>
            <w:shd w:fill="f1f5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dd9b19"/>
                <w:sz w:val="18"/>
                <w:szCs w:val="18"/>
              </w:rPr>
              <w:t xml:space="preserve">1</w:t>
            </w:r>
          </w:p>
        </w:tc>
        <w:tc>
          <w:tcPr>
            <w:tcW w:type="dxa" w:w="800"/>
            <w:shd w:fill="f1f5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c0392b"/>
                <w:sz w:val="18"/>
                <w:szCs w:val="18"/>
              </w:rPr>
              <w:t xml:space="preserve">2</w:t>
            </w:r>
          </w:p>
        </w:tc>
        <w:tc>
          <w:tcPr>
            <w:tcW w:type="dxa" w:w="4460"/>
            <w:shd w:fill="f1f5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Reports pages, candidate reports, overall dashboard, notification templates — done. Pending: scheduled/emailed reports, richer exports.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Configuration Management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color w:val="0ab39c"/>
                <w:sz w:val="18"/>
                <w:szCs w:val="18"/>
              </w:rPr>
              <w:t xml:space="preserve">2</w:t>
            </w:r>
          </w:p>
        </w:tc>
        <w:tc>
          <w:tcPr>
            <w:tcW w:type="dxa" w:w="8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dd9b19"/>
                <w:sz w:val="18"/>
                <w:szCs w:val="18"/>
              </w:rPr>
              <w:t xml:space="preserve">2</w:t>
            </w:r>
          </w:p>
        </w:tc>
        <w:tc>
          <w:tcPr>
            <w:tcW w:type="dxa" w:w="8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c0392b"/>
                <w:sz w:val="18"/>
                <w:szCs w:val="18"/>
              </w:rPr>
              <w:t xml:space="preserve">1</w:t>
            </w:r>
          </w:p>
        </w:tc>
        <w:tc>
          <w:tcPr>
            <w:tcW w:type="dxa" w:w="44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Master data (skills, designation, city/state/country, notice, CTC), pipeline stages, rank params, notification templates — largely done.</w:t>
            </w:r>
          </w:p>
        </w:tc>
      </w:tr>
      <w:tr>
        <w:tc>
          <w:tcPr>
            <w:tcW w:type="dxa" w:w="2600"/>
            <w:shd w:fill="f1f5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Integration Layer</w:t>
            </w:r>
          </w:p>
        </w:tc>
        <w:tc>
          <w:tcPr>
            <w:tcW w:type="dxa" w:w="700"/>
            <w:shd w:fill="f1f5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color w:val="0ab39c"/>
                <w:sz w:val="18"/>
                <w:szCs w:val="18"/>
              </w:rPr>
              <w:t xml:space="preserve">0</w:t>
            </w:r>
          </w:p>
        </w:tc>
        <w:tc>
          <w:tcPr>
            <w:tcW w:type="dxa" w:w="800"/>
            <w:shd w:fill="f1f5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dd9b19"/>
                <w:sz w:val="18"/>
                <w:szCs w:val="18"/>
              </w:rPr>
              <w:t xml:space="preserve">5</w:t>
            </w:r>
          </w:p>
        </w:tc>
        <w:tc>
          <w:tcPr>
            <w:tcW w:type="dxa" w:w="800"/>
            <w:shd w:fill="f1f5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c0392b"/>
                <w:sz w:val="18"/>
                <w:szCs w:val="18"/>
              </w:rPr>
              <w:t xml:space="preserve">4</w:t>
            </w:r>
          </w:p>
        </w:tc>
        <w:tc>
          <w:tcPr>
            <w:tcW w:type="dxa" w:w="4460"/>
            <w:shd w:fill="f1f5f9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LinkedIn posting live. In progress: WhatsApp gateway (send2). Pending: Naukri, telephony, Google/Outlook calendar.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/>
                <w:bCs/>
                <w:sz w:val="18"/>
                <w:szCs w:val="18"/>
              </w:rPr>
              <w:t xml:space="preserve">Mobile API Suite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color w:val="0ab39c"/>
                <w:sz w:val="18"/>
                <w:szCs w:val="18"/>
              </w:rPr>
              <w:t xml:space="preserve">4</w:t>
            </w:r>
          </w:p>
        </w:tc>
        <w:tc>
          <w:tcPr>
            <w:tcW w:type="dxa" w:w="8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dd9b19"/>
                <w:sz w:val="18"/>
                <w:szCs w:val="18"/>
              </w:rPr>
              <w:t xml:space="preserve">1</w:t>
            </w:r>
          </w:p>
        </w:tc>
        <w:tc>
          <w:tcPr>
            <w:tcW w:type="dxa" w:w="8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c0392b"/>
                <w:sz w:val="18"/>
                <w:szCs w:val="18"/>
              </w:rPr>
              <w:t xml:space="preserve">3</w:t>
            </w:r>
          </w:p>
        </w:tc>
        <w:tc>
          <w:tcPr>
            <w:tcW w:type="dxa" w:w="44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REST API powers web + is Phase-2 mobile-ready. Pending: FCM/APNs push, offline sync, hybrid app.</w:t>
            </w:r>
          </w:p>
        </w:tc>
      </w:tr>
    </w:tbl>
    <w:p>
      <w:r>
        <w:br w:type="page"/>
      </w:r>
    </w:p>
    <w:p>
      <w:pPr>
        <w:pStyle w:val="Heading1"/>
        <w:spacing w:after="120" w:before="240"/>
      </w:pPr>
      <w:r>
        <w:rPr>
          <w:color w:val="2b3566"/>
        </w:rPr>
        <w:t xml:space="preserve">4. What We Recently Delivered</w:t>
      </w:r>
    </w:p>
    <w:p>
      <w:pPr>
        <w:spacing w:after="100"/>
      </w:pPr>
      <w:r>
        <w:t xml:space="preserve">Highlights shipped in the current phase: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Candidate outreach — Email, WhatsApp (send2.digital approved template with multi-variable support), and SMS from a unified Notify modal, plus auto-generated status-change emails on pipeline moves.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DPDP-style PII masking — phone/email masked in list/table views with reveal-on-click + audit; full values only in detail/edit.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Server-side pagination — Candidates, Jobs, Clients, Users (fast, scales to thousands of rows) with server-side search &amp; filters.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Public careers portal — responsive landing + job list/detail, one-click apply, non-enumerable UUID / short encrypted job URLs, LinkedIn share with an auto-generated gradient Open-Graph banner.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OpenCATS-style candidate attachments (multiple files, primary résumé, private storage, signed download).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JD approval workflow (submit → hiring-manager approve/reject with emailed deep links) and JD viewer with tabbed details + export.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UI/UX pass — unified 4-dot loader, responsive navbar with left drawer, mobile-optimised search and candidate profile header.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Dummy data seeders (1000 JDs, 5000 candidates) and idempotent notification-template seeder.</w:t>
      </w:r>
    </w:p>
    <w:p>
      <w:pPr>
        <w:pStyle w:val="Heading1"/>
        <w:spacing w:after="120" w:before="240"/>
      </w:pPr>
      <w:r>
        <w:rPr>
          <w:color w:val="2b3566"/>
        </w:rPr>
        <w:t xml:space="preserve">5. Remaining / To Add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AI Calling Engine — telephony provider integration, automated retry/IVR, call recording pipeline.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AI Interview Flow — STT capture, question branching, live transcript, dealbreaker detection.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AI Evaluation Engine — transcript-based scoring, structured evaluation report per candidate.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Integrations — Naukri sourcing adapter, telephony gateway, Google/Outlook calendar sync for Round 2/3 scheduling.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Auth hardening — device binding for restricted users, MFA/SSO.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Reporting — scheduled/emailed reports and richer exports.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Phase 2 mobile — hybrid app (iOS/Android) on the existing REST API, FCM/APNs push, offline-first sync.</w:t>
      </w:r>
    </w:p>
    <w:p>
      <w:pPr>
        <w:pStyle w:val="Heading1"/>
        <w:spacing w:after="120" w:before="240"/>
      </w:pPr>
      <w:r>
        <w:rPr>
          <w:color w:val="2b3566"/>
        </w:rPr>
        <w:t xml:space="preserve">6. Delivery Roadmap</w:t>
      </w:r>
    </w:p>
    <w:p>
      <w:pPr>
        <w:pStyle w:val="Heading2"/>
        <w:spacing w:after="120" w:before="240"/>
      </w:pPr>
      <w:r>
        <w:rPr>
          <w:color w:val="2b3566"/>
        </w:rPr>
        <w:t xml:space="preserve">Now (0–1 month) — finish Phase 1 core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Stabilise production deploy; commit outstanding UI/pagination/outreach work.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Complete Round 2/3 interviewer scheduling + calendar invite.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Finalise CV ranking weight-tuning UI.</w:t>
      </w:r>
    </w:p>
    <w:p>
      <w:pPr>
        <w:pStyle w:val="Heading2"/>
        <w:spacing w:after="120" w:before="240"/>
      </w:pPr>
      <w:r>
        <w:rPr>
          <w:color w:val="2b3566"/>
        </w:rPr>
        <w:t xml:space="preserve">Next (1–3 months) — AI + integrations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Telephony provider + AI Calling Engine (retry/IVR, recording).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AI Interview Flow (STT, branching, live transcript).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Naukri sourcing adapter; Google/Outlook calendar sync.</w:t>
      </w:r>
    </w:p>
    <w:p>
      <w:pPr>
        <w:pStyle w:val="Heading2"/>
        <w:spacing w:after="120" w:before="240"/>
      </w:pPr>
      <w:r>
        <w:rPr>
          <w:color w:val="2b3566"/>
        </w:rPr>
        <w:t xml:space="preserve">Later (3–6 months) — evaluation, reporting, hardening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AI Evaluation Engine (transcript scoring + dealbreakers).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Scheduled/emailed reports, advanced analytics.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Device binding, MFA/SSO.</w:t>
      </w:r>
    </w:p>
    <w:p>
      <w:pPr>
        <w:pStyle w:val="Heading2"/>
        <w:spacing w:after="120" w:before="240"/>
      </w:pPr>
      <w:r>
        <w:rPr>
          <w:color w:val="2b3566"/>
        </w:rPr>
        <w:t xml:space="preserve">Phase 2 — Mobile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Hybrid mobile app on the existing API suite, push notifications, offline sync.</w:t>
      </w:r>
    </w:p>
    <w:p>
      <w:pPr>
        <w:pStyle w:val="Heading1"/>
        <w:spacing w:after="120" w:before="240"/>
      </w:pPr>
      <w:r>
        <w:rPr>
          <w:color w:val="2b3566"/>
        </w:rPr>
        <w:t xml:space="preserve">7. Notes &amp; Risks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WhatsApp delivery depends on send2.digital account credentials + server IP whitelisting (external).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Live-activity WebSocket needs a WS-capable host; on shared hosting it falls back to HTTP polling.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Module status percentages are indicative, derived from the tracked requirement list and current codebase.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2026-08-04T10:49:59.792Z</dcterms:created>
  <dcterms:modified xsi:type="dcterms:W3CDTF">2026-08-04T10:49:59.795Z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