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0F2A4A"/>
          <w:sz w:val="32"/>
        </w:rPr>
        <w:t>TA-ATS  ·  Talent Acquisition &amp; Applicant Tracking System</w:t>
      </w:r>
    </w:p>
    <w:p>
      <w:pPr>
        <w:spacing w:after="20"/>
        <w:jc w:val="center"/>
      </w:pPr>
      <w:r>
        <w:rPr>
          <w:b/>
          <w:color w:val="475569"/>
          <w:sz w:val="20"/>
        </w:rPr>
        <w:t>Project Roadmap &amp; Delivery Status  —  August 2026</w:t>
      </w:r>
    </w:p>
    <w:p>
      <w:pPr>
        <w:spacing w:after="80"/>
        <w:jc w:val="center"/>
      </w:pPr>
      <w:r>
        <w:rPr>
          <w:color w:val="64748B"/>
          <w:sz w:val="16"/>
        </w:rPr>
        <w:t>Indovision Services   ·   Confidential — Internal Use Only   ·   ats.indovisionconsultancy.in</w:t>
      </w:r>
    </w:p>
    <w:p>
      <w:pPr>
        <w:spacing w:before="140" w:after="60"/>
        <w:pBdr>
          <w:bottom w:val="single" w:sz="6" w:space="2" w:color="15803D"/>
        </w:pBdr>
      </w:pPr>
      <w:r>
        <w:rPr>
          <w:b/>
          <w:color w:val="0F2A4A"/>
          <w:sz w:val="23"/>
        </w:rPr>
        <w:t>Executive Summary</w:t>
      </w:r>
    </w:p>
    <w:p>
      <w:r>
        <w:rPr>
          <w:sz w:val="19"/>
        </w:rPr>
        <w:t>TA-ATS is a web-first, API-driven recruitment automation platform that replaces fragmented spreadsheets and manual outreach with one configurable system spanning job intake, multi-channel sourcing, CV ranking, candidate outreach, interviews and reporting. Phase 1 (web, desktop &amp; mobile-responsive) is live in production with role-based dashboards for Admin, Recruiter, Hiring Manager, TA and Project Manager. The platform is now completing its Phase-1 core and moving into the AI calling, integration and evaluation stages.</w:t>
      </w:r>
    </w:p>
    <w:p>
      <w:pPr>
        <w:spacing w:before="140" w:after="60"/>
        <w:pBdr>
          <w:bottom w:val="single" w:sz="6" w:space="2" w:color="15803D"/>
        </w:pBdr>
      </w:pPr>
      <w:r>
        <w:rPr>
          <w:b/>
          <w:color w:val="0F2A4A"/>
          <w:sz w:val="23"/>
        </w:rPr>
        <w:t>Delivery Snapshot — 128 Tracked Requirements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15803D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58</w:t>
            </w:r>
          </w:p>
          <w:p>
            <w:pPr>
              <w:jc w:val="center"/>
            </w:pPr>
            <w:r>
              <w:rPr>
                <w:b/>
                <w:color w:val="E8EEF5"/>
                <w:sz w:val="17"/>
              </w:rPr>
              <w:t>Completed</w:t>
            </w:r>
          </w:p>
          <w:p>
            <w:pPr>
              <w:spacing w:after="40"/>
              <w:jc w:val="center"/>
            </w:pPr>
            <w:r>
              <w:rPr>
                <w:color w:val="C6D2E0"/>
                <w:sz w:val="15"/>
              </w:rPr>
              <w:t>~45%</w:t>
            </w:r>
          </w:p>
        </w:tc>
        <w:tc>
          <w:tcPr>
            <w:tcW w:type="dxa" w:w="2628"/>
            <w:shd w:val="clear" w:fill="B45309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37</w:t>
            </w:r>
          </w:p>
          <w:p>
            <w:pPr>
              <w:jc w:val="center"/>
            </w:pPr>
            <w:r>
              <w:rPr>
                <w:b/>
                <w:color w:val="E8EEF5"/>
                <w:sz w:val="17"/>
              </w:rPr>
              <w:t>In Progress</w:t>
            </w:r>
          </w:p>
          <w:p>
            <w:pPr>
              <w:spacing w:after="40"/>
              <w:jc w:val="center"/>
            </w:pPr>
            <w:r>
              <w:rPr>
                <w:color w:val="C6D2E0"/>
                <w:sz w:val="15"/>
              </w:rPr>
              <w:t>~29%</w:t>
            </w:r>
          </w:p>
        </w:tc>
        <w:tc>
          <w:tcPr>
            <w:tcW w:type="dxa" w:w="2628"/>
            <w:shd w:val="clear" w:fill="475569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33</w:t>
            </w:r>
          </w:p>
          <w:p>
            <w:pPr>
              <w:jc w:val="center"/>
            </w:pPr>
            <w:r>
              <w:rPr>
                <w:b/>
                <w:color w:val="E8EEF5"/>
                <w:sz w:val="17"/>
              </w:rPr>
              <w:t>Pending</w:t>
            </w:r>
          </w:p>
          <w:p>
            <w:pPr>
              <w:spacing w:after="40"/>
              <w:jc w:val="center"/>
            </w:pPr>
            <w:r>
              <w:rPr>
                <w:color w:val="C6D2E0"/>
                <w:sz w:val="15"/>
              </w:rPr>
              <w:t>~26%</w:t>
            </w:r>
          </w:p>
        </w:tc>
        <w:tc>
          <w:tcPr>
            <w:tcW w:type="dxa" w:w="2628"/>
            <w:shd w:val="clear" w:fill="0F2A4A"/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8 / 15</w:t>
            </w:r>
          </w:p>
          <w:p>
            <w:pPr>
              <w:jc w:val="center"/>
            </w:pPr>
            <w:r>
              <w:rPr>
                <w:b/>
                <w:color w:val="E8EEF5"/>
                <w:sz w:val="17"/>
              </w:rPr>
              <w:t>Modules Live</w:t>
            </w:r>
          </w:p>
          <w:p>
            <w:pPr>
              <w:spacing w:after="40"/>
              <w:jc w:val="center"/>
            </w:pPr>
            <w:r>
              <w:rPr>
                <w:color w:val="C6D2E0"/>
                <w:sz w:val="15"/>
              </w:rPr>
              <w:t>Phase 1</w:t>
            </w:r>
          </w:p>
        </w:tc>
      </w:tr>
    </w:tbl>
    <w:p>
      <w:pPr>
        <w:spacing w:before="140" w:after="60"/>
        <w:pBdr>
          <w:bottom w:val="single" w:sz="6" w:space="2" w:color="15803D"/>
        </w:pBdr>
      </w:pPr>
      <w:r>
        <w:rPr>
          <w:b/>
          <w:color w:val="0F2A4A"/>
          <w:sz w:val="23"/>
        </w:rPr>
        <w:t>Recently Delivered — Live in Production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Candidate Outreach: </w:t>
      </w:r>
      <w:r>
        <w:rPr>
          <w:sz w:val="19"/>
        </w:rPr>
        <w:t>Email + WhatsApp (approved multi-variable template) + SMS via a unified Notify modal; auto status-change emails on pipeline moves.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Compliance: </w:t>
      </w:r>
      <w:r>
        <w:rPr>
          <w:sz w:val="19"/>
        </w:rPr>
        <w:t>DPDP-style PII masking (phone/email) in list views with reveal-on-click + audit; full values only in detail/edit.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Performance: </w:t>
      </w:r>
      <w:r>
        <w:rPr>
          <w:sz w:val="19"/>
        </w:rPr>
        <w:t>Server-side pagination, search and filters for Candidates, Jobs, Clients and Users — fast load at scale.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Careers Portal: </w:t>
      </w:r>
      <w:r>
        <w:rPr>
          <w:sz w:val="19"/>
        </w:rPr>
        <w:t>Responsive landing + job list/detail, one-click apply, non-enumerable short encrypted job URLs, LinkedIn share with auto Open-Graph banner.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Candidate Docs: </w:t>
      </w:r>
      <w:r>
        <w:rPr>
          <w:sz w:val="19"/>
        </w:rPr>
        <w:t>OpenCATS-style attachments (multiple files, primary résumé, private storage, signed download).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JD Workflow: </w:t>
      </w:r>
      <w:r>
        <w:rPr>
          <w:sz w:val="19"/>
        </w:rPr>
        <w:t>Submit → hiring-manager approve/reject with emailed deep links; tabbed JD viewer with export.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UI / UX: </w:t>
      </w:r>
      <w:r>
        <w:rPr>
          <w:sz w:val="19"/>
        </w:rPr>
        <w:t>Unified loader, responsive navbar with left drawer, mobile-optimised search and candidate profile header.</w:t>
      </w:r>
    </w:p>
    <w:p>
      <w:pPr>
        <w:spacing w:before="140" w:after="60"/>
        <w:pBdr>
          <w:bottom w:val="single" w:sz="6" w:space="2" w:color="15803D"/>
        </w:pBdr>
      </w:pPr>
      <w:r>
        <w:rPr>
          <w:b/>
          <w:color w:val="0F2A4A"/>
          <w:sz w:val="23"/>
        </w:rPr>
        <w:t>Remaining to Build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AI Calling Engine: </w:t>
      </w:r>
      <w:r>
        <w:rPr>
          <w:sz w:val="19"/>
        </w:rPr>
        <w:t>telephony integration, automated retry/IVR, call recording.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AI Interview Flow: </w:t>
      </w:r>
      <w:r>
        <w:rPr>
          <w:sz w:val="19"/>
        </w:rPr>
        <w:t>STT capture, question branching, live transcript, dealbreaker detection.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AI Evaluation: </w:t>
      </w:r>
      <w:r>
        <w:rPr>
          <w:sz w:val="19"/>
        </w:rPr>
        <w:t>transcript-based scoring + structured per-candidate evaluation report.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Integrations: </w:t>
      </w:r>
      <w:r>
        <w:rPr>
          <w:sz w:val="19"/>
        </w:rPr>
        <w:t>Naukri sourcing adapter, telephony gateway, Google/Outlook calendar sync for Round 2/3.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Auth Hardening: </w:t>
      </w:r>
      <w:r>
        <w:rPr>
          <w:sz w:val="19"/>
        </w:rPr>
        <w:t>device binding for restricted users, MFA / SSO.</w:t>
      </w:r>
    </w:p>
    <w:p>
      <w:pPr>
        <w:pStyle w:val="ListBullet"/>
        <w:spacing w:after="20" w:line="240" w:lineRule="auto"/>
        <w:ind w:left="288"/>
      </w:pPr>
      <w:r>
        <w:rPr>
          <w:b/>
          <w:color w:val="0F2A4A"/>
          <w:sz w:val="19"/>
        </w:rPr>
        <w:t xml:space="preserve">Reporting &amp; Mobile: </w:t>
      </w:r>
      <w:r>
        <w:rPr>
          <w:sz w:val="19"/>
        </w:rPr>
        <w:t>scheduled/emailed reports and richer exports; Phase-2 hybrid mobile app (FCM/APNs push, offline sync).</w:t>
      </w:r>
    </w:p>
    <w:p>
      <w:pPr>
        <w:spacing w:before="140" w:after="60"/>
        <w:pBdr>
          <w:bottom w:val="single" w:sz="6" w:space="2" w:color="15803D"/>
        </w:pBdr>
      </w:pPr>
      <w:r>
        <w:rPr>
          <w:b/>
          <w:color w:val="0F2A4A"/>
          <w:sz w:val="23"/>
        </w:rPr>
        <w:t>Delivery Roadmap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c>
          <w:tcPr>
            <w:tcW w:type="dxa" w:w="3504"/>
            <w:shd w:val="clear" w:fill="15803D"/>
          </w:tcPr>
          <w:p>
            <w:r>
              <w:rPr>
                <w:b/>
                <w:color w:val="FFFFFF"/>
                <w:sz w:val="18"/>
              </w:rPr>
              <w:t>Phase</w:t>
            </w:r>
          </w:p>
        </w:tc>
        <w:tc>
          <w:tcPr>
            <w:tcW w:type="dxa" w:w="3504"/>
            <w:shd w:val="clear" w:fill="15803D"/>
          </w:tcPr>
          <w:p>
            <w:r>
              <w:rPr>
                <w:b/>
                <w:color w:val="FFFFFF"/>
                <w:sz w:val="18"/>
              </w:rPr>
              <w:t>Focus</w:t>
            </w:r>
          </w:p>
        </w:tc>
        <w:tc>
          <w:tcPr>
            <w:tcW w:type="dxa" w:w="3504"/>
            <w:shd w:val="clear" w:fill="15803D"/>
          </w:tcPr>
          <w:p>
            <w:r>
              <w:rPr>
                <w:b/>
                <w:color w:val="FFFFFF"/>
                <w:sz w:val="18"/>
              </w:rPr>
              <w:t>Key Deliverables</w:t>
            </w:r>
          </w:p>
        </w:tc>
      </w:tr>
      <w:tr>
        <w:tc>
          <w:tcPr>
            <w:tcW w:type="dxa" w:w="3504"/>
          </w:tcPr>
          <w:p>
            <w:r>
              <w:rPr>
                <w:b/>
                <w:color w:val="0F2A4A"/>
                <w:sz w:val="17"/>
              </w:rPr>
              <w:t>Now</w:t>
              <w:br/>
              <w:t>0–1 month</w:t>
            </w:r>
          </w:p>
        </w:tc>
        <w:tc>
          <w:tcPr>
            <w:tcW w:type="dxa" w:w="3504"/>
          </w:tcPr>
          <w:p>
            <w:r>
              <w:rPr>
                <w:sz w:val="17"/>
              </w:rPr>
              <w:t>Finish Phase-1 core</w:t>
            </w:r>
          </w:p>
        </w:tc>
        <w:tc>
          <w:tcPr>
            <w:tcW w:type="dxa" w:w="3504"/>
          </w:tcPr>
          <w:p>
            <w:r>
              <w:rPr>
                <w:sz w:val="17"/>
              </w:rPr>
              <w:t>Stabilise production deploy &amp; commit outstanding work · Round 2/3 interviewer scheduling + calendar invite · finalise CV-ranking weight-tuning UI</w:t>
            </w:r>
          </w:p>
        </w:tc>
      </w:tr>
      <w:tr>
        <w:tc>
          <w:tcPr>
            <w:tcW w:type="dxa" w:w="3504"/>
          </w:tcPr>
          <w:p>
            <w:r>
              <w:rPr>
                <w:b/>
                <w:color w:val="0F2A4A"/>
                <w:sz w:val="17"/>
              </w:rPr>
              <w:t>Next</w:t>
              <w:br/>
              <w:t>1–3 months</w:t>
            </w:r>
          </w:p>
        </w:tc>
        <w:tc>
          <w:tcPr>
            <w:tcW w:type="dxa" w:w="3504"/>
          </w:tcPr>
          <w:p>
            <w:r>
              <w:rPr>
                <w:sz w:val="17"/>
              </w:rPr>
              <w:t>AI + integrations</w:t>
            </w:r>
          </w:p>
        </w:tc>
        <w:tc>
          <w:tcPr>
            <w:tcW w:type="dxa" w:w="3504"/>
          </w:tcPr>
          <w:p>
            <w:r>
              <w:rPr>
                <w:sz w:val="17"/>
              </w:rPr>
              <w:t>Telephony + AI Calling Engine (retry / IVR / recording) · AI Interview Flow (STT, branching, transcript) · Naukri adapter · Google/Outlook calendar sync</w:t>
            </w:r>
          </w:p>
        </w:tc>
      </w:tr>
      <w:tr>
        <w:tc>
          <w:tcPr>
            <w:tcW w:type="dxa" w:w="3504"/>
          </w:tcPr>
          <w:p>
            <w:r>
              <w:rPr>
                <w:b/>
                <w:color w:val="0F2A4A"/>
                <w:sz w:val="17"/>
              </w:rPr>
              <w:t>Later</w:t>
              <w:br/>
              <w:t>3–6 months</w:t>
            </w:r>
          </w:p>
        </w:tc>
        <w:tc>
          <w:tcPr>
            <w:tcW w:type="dxa" w:w="3504"/>
          </w:tcPr>
          <w:p>
            <w:r>
              <w:rPr>
                <w:sz w:val="17"/>
              </w:rPr>
              <w:t>Evaluation · reporting · hardening</w:t>
            </w:r>
          </w:p>
        </w:tc>
        <w:tc>
          <w:tcPr>
            <w:tcW w:type="dxa" w:w="3504"/>
          </w:tcPr>
          <w:p>
            <w:r>
              <w:rPr>
                <w:sz w:val="17"/>
              </w:rPr>
              <w:t>AI Evaluation Engine (transcript scoring + dealbreakers) · scheduled/emailed reports &amp; advanced analytics · device binding · MFA / SSO</w:t>
            </w:r>
          </w:p>
        </w:tc>
      </w:tr>
      <w:tr>
        <w:tc>
          <w:tcPr>
            <w:tcW w:type="dxa" w:w="3504"/>
          </w:tcPr>
          <w:p>
            <w:r>
              <w:rPr>
                <w:b/>
                <w:color w:val="0F2A4A"/>
                <w:sz w:val="17"/>
              </w:rPr>
              <w:t>Phase 2</w:t>
            </w:r>
          </w:p>
        </w:tc>
        <w:tc>
          <w:tcPr>
            <w:tcW w:type="dxa" w:w="3504"/>
          </w:tcPr>
          <w:p>
            <w:r>
              <w:rPr>
                <w:sz w:val="17"/>
              </w:rPr>
              <w:t>Mobile</w:t>
            </w:r>
          </w:p>
        </w:tc>
        <w:tc>
          <w:tcPr>
            <w:tcW w:type="dxa" w:w="3504"/>
          </w:tcPr>
          <w:p>
            <w:r>
              <w:rPr>
                <w:sz w:val="17"/>
              </w:rPr>
              <w:t>Hybrid iOS/Android app on the existing REST API suite · push notifications (FCM/APNs) · offline-first sync</w:t>
            </w:r>
          </w:p>
        </w:tc>
      </w:tr>
    </w:tbl>
    <w:p>
      <w:pPr>
        <w:spacing w:before="100"/>
        <w:jc w:val="center"/>
      </w:pPr>
      <w:r>
        <w:rPr>
          <w:i/>
          <w:color w:val="64748B"/>
          <w:sz w:val="15"/>
        </w:rPr>
        <w:t>Companion detail: TA-ATS_Roadmap_and_Status_Aug2026.docx  ·  Source: Requirements Document v1.1 + Aug-2026 status addendum</w:t>
      </w:r>
    </w:p>
    <w:sectPr w:rsidR="00FC693F" w:rsidRPr="0006063C" w:rsidSect="00034616">
      <w:pgSz w:w="12240" w:h="15840"/>
      <w:pgMar w:top="648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5" w:lineRule="auto"/>
    </w:pPr>
    <w:rPr>
      <w:rFonts w:ascii="Calibri" w:hAnsi="Calibri"/>
      <w:color w:val="1B1F2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